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BAF4B2" w14:textId="77777777" w:rsidR="003B55EC" w:rsidRPr="00EA0730" w:rsidRDefault="003B55EC" w:rsidP="00EA0730">
      <w:pPr>
        <w:ind w:right="1134"/>
        <w:rPr>
          <w:rFonts w:ascii="Times New Roman" w:hAnsi="Times New Roman" w:cs="Times New Roman"/>
          <w:sz w:val="24"/>
          <w:szCs w:val="24"/>
        </w:rPr>
      </w:pPr>
      <w:bookmarkStart w:id="0" w:name="_Hlk149746631"/>
      <w:r w:rsidRPr="00EA0730">
        <w:rPr>
          <w:rFonts w:ascii="Times New Roman" w:hAnsi="Times New Roman" w:cs="Times New Roman"/>
          <w:sz w:val="24"/>
          <w:szCs w:val="24"/>
        </w:rPr>
        <w:t>Zusammenfassung:</w:t>
      </w:r>
    </w:p>
    <w:p w14:paraId="6E07205B"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Management Summary:</w:t>
      </w:r>
    </w:p>
    <w:p w14:paraId="028FB113" w14:textId="6F215D59"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Die Leitstellen des Brand- und Katastrophenschutzes, Rettungsdienstes und der Polizei sind entscheidend für die Gefahrenabwehr und Notfallvorsorge, gelten als kritische Infrastruktur und erfordern robuste bauliche und technische Ausstattung sowie Maßnahmen zur Risikominimierung, die dieses Arbeitspapier für Planung und Betrieb von Leitstellentechnik und -gebäuden bietet.</w:t>
      </w:r>
    </w:p>
    <w:p w14:paraId="5D88DC60"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Ziel des Dokuments:</w:t>
      </w:r>
    </w:p>
    <w:p w14:paraId="51FF42E7" w14:textId="74FC1F7F"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 xml:space="preserve">BOS-Leitstellen als kritische Infrastruktur sowie Sicherstellung der Betriebssicherheit als wichtiges Planungsziel aufzeigen. Dokument beschreibt die technischen Mindestanforderungen in Bezug auf Ausstattung auf gesetzlicher Grundlage und Richtlinien </w:t>
      </w:r>
      <w:r w:rsidR="00381254" w:rsidRPr="00EA0730">
        <w:rPr>
          <w:rFonts w:ascii="Times New Roman" w:hAnsi="Times New Roman" w:cs="Times New Roman"/>
          <w:sz w:val="24"/>
          <w:szCs w:val="24"/>
        </w:rPr>
        <w:t>e</w:t>
      </w:r>
      <w:r w:rsidRPr="00EA0730">
        <w:rPr>
          <w:rFonts w:ascii="Times New Roman" w:hAnsi="Times New Roman" w:cs="Times New Roman"/>
          <w:sz w:val="24"/>
          <w:szCs w:val="24"/>
        </w:rPr>
        <w:t xml:space="preserve">benfalls so Leitungsverantwortlichen eine Orientierung in Bezug auf Betriebssicherheit und Möglichkeiten der Anlage eröffnet werden. </w:t>
      </w:r>
    </w:p>
    <w:p w14:paraId="59603E3D" w14:textId="77777777" w:rsidR="00A40352" w:rsidRPr="00EA0730" w:rsidRDefault="00A40352" w:rsidP="00EA0730">
      <w:pPr>
        <w:ind w:right="1134"/>
        <w:rPr>
          <w:rFonts w:ascii="Times New Roman" w:hAnsi="Times New Roman" w:cs="Times New Roman"/>
          <w:sz w:val="24"/>
          <w:szCs w:val="24"/>
        </w:rPr>
      </w:pPr>
    </w:p>
    <w:p w14:paraId="1A1D1251" w14:textId="51237C31"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 xml:space="preserve">Innerhalb der Planung sollten Faktoren, welche den reibungslosen Betrieb beeinflussen würden, bedacht werden. </w:t>
      </w:r>
    </w:p>
    <w:p w14:paraId="68545F2D" w14:textId="429DBFE3"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Kritische Infrastrukturen sind „Organisationen und Einrichtungen mit wichtiger Bedeutung für das staatliche Gemeinwesen, bei deren Ausfall oder Beeinträchtigung nachhaltig wirkende Versorgungsengpässe, erhebliche Störungen der öffentlichen Sicherheit oder andere dramatische Folgen eintreten würden“. (Definition AK KRITIS BMI 17.11.2003)</w:t>
      </w:r>
    </w:p>
    <w:p w14:paraId="32116373" w14:textId="7FE78B8D"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Aus diesem Grund</w:t>
      </w:r>
      <w:r w:rsidR="004E3369" w:rsidRPr="00EA0730">
        <w:rPr>
          <w:rFonts w:ascii="Times New Roman" w:hAnsi="Times New Roman" w:cs="Times New Roman"/>
          <w:sz w:val="24"/>
          <w:szCs w:val="24"/>
        </w:rPr>
        <w:t xml:space="preserve"> ist eine</w:t>
      </w:r>
      <w:r w:rsidRPr="00EA0730">
        <w:rPr>
          <w:rFonts w:ascii="Times New Roman" w:hAnsi="Times New Roman" w:cs="Times New Roman"/>
          <w:sz w:val="24"/>
          <w:szCs w:val="24"/>
        </w:rPr>
        <w:t xml:space="preserve"> redundante Variante</w:t>
      </w:r>
      <w:r w:rsidR="004E3369" w:rsidRPr="00EA0730">
        <w:rPr>
          <w:rFonts w:ascii="Times New Roman" w:hAnsi="Times New Roman" w:cs="Times New Roman"/>
          <w:sz w:val="24"/>
          <w:szCs w:val="24"/>
        </w:rPr>
        <w:t xml:space="preserve"> von Nöten</w:t>
      </w:r>
      <w:r w:rsidRPr="00EA0730">
        <w:rPr>
          <w:rFonts w:ascii="Times New Roman" w:hAnsi="Times New Roman" w:cs="Times New Roman"/>
          <w:sz w:val="24"/>
          <w:szCs w:val="24"/>
        </w:rPr>
        <w:t>, darunter einzelne Komponenten, wie auch die gesamte Anlage als redundant</w:t>
      </w:r>
      <w:r w:rsidR="004E3369" w:rsidRPr="00EA0730">
        <w:rPr>
          <w:rFonts w:ascii="Times New Roman" w:hAnsi="Times New Roman" w:cs="Times New Roman"/>
          <w:sz w:val="24"/>
          <w:szCs w:val="24"/>
        </w:rPr>
        <w:t xml:space="preserve"> aufstellbar</w:t>
      </w:r>
      <w:r w:rsidRPr="00EA0730">
        <w:rPr>
          <w:rFonts w:ascii="Times New Roman" w:hAnsi="Times New Roman" w:cs="Times New Roman"/>
          <w:sz w:val="24"/>
          <w:szCs w:val="24"/>
        </w:rPr>
        <w:t xml:space="preserve">. Die Leitstelle wird von zahlreichen Standortfaktoren beeinflusst. Dazu kommen weitere Faktoren, welche den Bau und die endgültige Standortwahl beeinflussen könnten. Ausreichendes Leitstellenpersonal für eine 24/7 Betrieb muss zudem gewährleistet werden, welches auch auf Pandemien vorbereitet ist. </w:t>
      </w:r>
    </w:p>
    <w:p w14:paraId="602102E0" w14:textId="77777777" w:rsidR="003B55EC" w:rsidRPr="00EA0730" w:rsidRDefault="003B55EC" w:rsidP="00EA0730">
      <w:pPr>
        <w:ind w:right="1134"/>
        <w:rPr>
          <w:rFonts w:ascii="Times New Roman" w:hAnsi="Times New Roman" w:cs="Times New Roman"/>
          <w:sz w:val="24"/>
          <w:szCs w:val="24"/>
        </w:rPr>
      </w:pPr>
    </w:p>
    <w:p w14:paraId="6D782BE1" w14:textId="67940AAE"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2.</w:t>
      </w:r>
      <w:r w:rsidR="00F73490" w:rsidRPr="00EA0730">
        <w:rPr>
          <w:rFonts w:ascii="Times New Roman" w:hAnsi="Times New Roman" w:cs="Times New Roman"/>
          <w:sz w:val="24"/>
          <w:szCs w:val="24"/>
        </w:rPr>
        <w:t xml:space="preserve"> </w:t>
      </w:r>
      <w:r w:rsidRPr="00EA0730">
        <w:rPr>
          <w:rFonts w:ascii="Times New Roman" w:hAnsi="Times New Roman" w:cs="Times New Roman"/>
          <w:sz w:val="24"/>
          <w:szCs w:val="24"/>
        </w:rPr>
        <w:t>Betriebssicherheit der Leitstelleninfrastruktur:</w:t>
      </w:r>
    </w:p>
    <w:p w14:paraId="3C78AF97" w14:textId="21429925"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Beschreibung von Betriebsrisiken sowie von Störungsszenarien außerdem Hinweis auf Gefährdungspotenziale</w:t>
      </w:r>
      <w:r w:rsidR="004E3369" w:rsidRPr="00EA0730">
        <w:rPr>
          <w:rFonts w:ascii="Times New Roman" w:hAnsi="Times New Roman" w:cs="Times New Roman"/>
          <w:sz w:val="24"/>
          <w:szCs w:val="24"/>
        </w:rPr>
        <w:t xml:space="preserve"> -</w:t>
      </w:r>
      <w:r w:rsidRPr="00EA0730">
        <w:rPr>
          <w:rFonts w:ascii="Times New Roman" w:hAnsi="Times New Roman" w:cs="Times New Roman"/>
          <w:sz w:val="24"/>
          <w:szCs w:val="24"/>
        </w:rPr>
        <w:t>Gebäude und Infrastruktur</w:t>
      </w:r>
      <w:r w:rsidR="004E3369" w:rsidRPr="00EA0730">
        <w:rPr>
          <w:rFonts w:ascii="Times New Roman" w:hAnsi="Times New Roman" w:cs="Times New Roman"/>
          <w:sz w:val="24"/>
          <w:szCs w:val="24"/>
        </w:rPr>
        <w:t xml:space="preserve"> -</w:t>
      </w:r>
      <w:r w:rsidRPr="00EA0730">
        <w:rPr>
          <w:rFonts w:ascii="Times New Roman" w:hAnsi="Times New Roman" w:cs="Times New Roman"/>
          <w:sz w:val="24"/>
          <w:szCs w:val="24"/>
        </w:rPr>
        <w:t xml:space="preserve">Übergeordnetes Störmeldesystems </w:t>
      </w:r>
    </w:p>
    <w:p w14:paraId="7CF51B54" w14:textId="567DA87A"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In Leitstellen müssen übergeordnete Störmeldesysteme vorhanden sein, die kritische Haustechnik und Infrastruktursensoren zentral verbinden, Störmeldungen signalisieren und protokollieren, sowie klare Handlungsanweisungen für das Leitstellenpersonal bereitstellen, während auch die Möglichkeit eines automatischen Feuerlöschsystems oder alternativer Brandschutzmaßnahmen für Technikräume in Betracht gezogen werden sollte, um das Brandrisiko zu minimieren, und redundante Rechenzentren mit unabhängigen Energieversorgungsträngen könnten Ausfallrisiken weiter reduzieren.</w:t>
      </w:r>
    </w:p>
    <w:p w14:paraId="62265FCC"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lastRenderedPageBreak/>
        <w:t>2.1.</w:t>
      </w:r>
      <w:r w:rsidRPr="00EA0730">
        <w:rPr>
          <w:rFonts w:ascii="Times New Roman" w:hAnsi="Times New Roman" w:cs="Times New Roman"/>
          <w:sz w:val="24"/>
          <w:szCs w:val="24"/>
        </w:rPr>
        <w:tab/>
        <w:t>Stromversorgung / Elektrische Regelversorgung:</w:t>
      </w:r>
    </w:p>
    <w:p w14:paraId="7535FFBB" w14:textId="1A7574B0" w:rsidR="003B55EC" w:rsidRPr="00EA0730" w:rsidRDefault="003B55EC" w:rsidP="00EA0730">
      <w:pPr>
        <w:ind w:right="1134"/>
        <w:rPr>
          <w:rFonts w:ascii="Times New Roman" w:hAnsi="Times New Roman" w:cs="Times New Roman"/>
          <w:sz w:val="24"/>
          <w:szCs w:val="24"/>
          <w:highlight w:val="darkBlue"/>
        </w:rPr>
      </w:pPr>
      <w:r w:rsidRPr="00EA0730">
        <w:rPr>
          <w:rFonts w:ascii="Times New Roman" w:hAnsi="Times New Roman" w:cs="Times New Roman"/>
          <w:sz w:val="24"/>
          <w:szCs w:val="24"/>
          <w:highlight w:val="darkBlue"/>
        </w:rPr>
        <w:t>Um die Energieversorgung der Leitstelle bei Gefährdungsszenarien wie einem großflächigen Stromausfall langfristig sicherzustellen, sind hauseigene Maßnahmen wie Notstromaggregate (NEA) und unterbrechungsfreie Stromversorgungen (USV) erforderlich. Diese sollten auch den Ausfall der NEA berücksichtigen und die Möglichkeit der Einspeisung mit externen Aggregaten vorsehen. Die Kapazität der USV muss mindestens 180 Minuten betragen und auch Umwelteinflüsse und Anfahrtszeiten berücksichtigen. Schaltarbeiten dürfen nur von geprüften Elektrofachkräften durchgeführt werden, und ein bereits vorhandener Einspeisepunkt außerhalb des Leitstellengebäudes ist empfehlenswert. Zudem sollten Anlagen zur unterbrechungsfreien Stromversorgung mit einem Bypass-Schalter ausgerüstet sein, um zwischen Notstromnetz und öffentlichem Stromnetz umschalten zu können.</w:t>
      </w:r>
    </w:p>
    <w:p w14:paraId="33A094FB" w14:textId="52637C7C"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highlight w:val="darkBlue"/>
        </w:rPr>
        <w:t>Großflächige Stromausfälle könnten die Notruferreichbarkeit der Leitstelle beeinträchtigen, da private Haushalte aufgrund eingeschränkter Telefonnutzung möglicherweise Schwierigkeiten haben, Notrufe abzusetzen. Die zunehmende Verbreitung von IP-Telefonie verstärkt die Abhängigkeit von einem funktionierenden Stromnetz. DECT- und WLAN-basierte Endgeräte würden bei einem Stromausfall ebenfalls unbrauchbar sein. Um dieser Situation vorzubeugen, wurde eine Petition zur Sicherstellung des Betriebs des IP-Netzes bei Stromausfällen an das Bundesministerium für Wirtschaft und Energie übergeben. Die elektrische Versorgung der BOS-Leitstelle soll vorzugsweise aus dem Mittelspannungsnetz mit redundanter Niederspannungs-Hauptverteilung und unterbrechungsfreier Stromversorgung erfolgen. Es ist zu prüfen, ob eine redundante Stromzuführung im 0,4KV oder 20KV Netz möglich ist, wobei eine Einweg-Zuführung mit einem höheren Ausfallrisiko über längere Zeiträume verbunden sein könnte.</w:t>
      </w:r>
    </w:p>
    <w:p w14:paraId="32803854" w14:textId="4DAB763D"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ab/>
      </w:r>
    </w:p>
    <w:p w14:paraId="7BFDAB81"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2.1.1.</w:t>
      </w:r>
      <w:r w:rsidRPr="00EA0730">
        <w:rPr>
          <w:rFonts w:ascii="Times New Roman" w:hAnsi="Times New Roman" w:cs="Times New Roman"/>
          <w:sz w:val="24"/>
          <w:szCs w:val="24"/>
        </w:rPr>
        <w:tab/>
        <w:t xml:space="preserve"> Ausfall der externen Regelstromversorgung:</w:t>
      </w:r>
    </w:p>
    <w:p w14:paraId="4DA96E85" w14:textId="5480FAE2" w:rsidR="003B55EC" w:rsidRPr="00EA0730" w:rsidRDefault="003B55EC" w:rsidP="00EA0730">
      <w:pPr>
        <w:ind w:right="1134"/>
        <w:rPr>
          <w:rFonts w:ascii="Times New Roman" w:hAnsi="Times New Roman" w:cs="Times New Roman"/>
          <w:sz w:val="24"/>
          <w:szCs w:val="24"/>
          <w:highlight w:val="cyan"/>
        </w:rPr>
      </w:pPr>
      <w:r w:rsidRPr="00EA0730">
        <w:rPr>
          <w:rFonts w:ascii="Times New Roman" w:hAnsi="Times New Roman" w:cs="Times New Roman"/>
          <w:sz w:val="24"/>
          <w:szCs w:val="24"/>
          <w:highlight w:val="cyan"/>
        </w:rPr>
        <w:t>Die Betroffenheit von privaten Haushalten und dem Notruf-TK-Netz durch großflächige Stromausfälle ist unsicher, aber es besteht die Gefahr, dass die Notruferreichbarkeit der Leitstelle eingeschränkt wird, insbesondere mit zunehmender Verbreitung von IP-Telefonie und dem Ausfall von DECT- und WLAN-basierten Endgeräten. Es wurde eine Petition zur Sicherstellung des Betriebs des IP-Netzes der Telekom bei Stromausfällen eingereicht. Die elektrische Versorgung der BOS-Leitstelle sollte aus dem Mittelspannungsnetz erfolgen und redundante unterbrechungsfreie Stromversorgungen (USV) ab dem Trafo sind erforderlich. Die Möglichkeit einer redundanten Stromzuführung im 0,4KV oder 20KV Netz sollte mit dem EVU geprüft werden, wobei eine Einweg-Zuführung ein höheres Ausfallrisiko birgt.</w:t>
      </w:r>
    </w:p>
    <w:p w14:paraId="7801CB7D" w14:textId="02B0CE26" w:rsidR="003B55EC" w:rsidRPr="00EA0730" w:rsidRDefault="003B55EC" w:rsidP="00EA0730">
      <w:pPr>
        <w:ind w:right="1134"/>
        <w:rPr>
          <w:rFonts w:ascii="Times New Roman" w:hAnsi="Times New Roman" w:cs="Times New Roman"/>
          <w:sz w:val="24"/>
          <w:szCs w:val="24"/>
          <w:highlight w:val="cyan"/>
        </w:rPr>
      </w:pPr>
      <w:r w:rsidRPr="00EA0730">
        <w:rPr>
          <w:rFonts w:ascii="Times New Roman" w:hAnsi="Times New Roman" w:cs="Times New Roman"/>
          <w:sz w:val="24"/>
          <w:szCs w:val="24"/>
          <w:highlight w:val="cyan"/>
        </w:rPr>
        <w:t xml:space="preserve">Bei einem Ausfall der externen Regelstromversorgung ist die Versorgung der Leitstelle über zwei verschiedene Leitungswege empfehlenswert, um Beschädigungen oder Ausfällen vorzubeugen. Die USV-Systeme müssen redundant und auf zwei brandschutztechnisch getrennte Räume aufgeteilt sein. </w:t>
      </w:r>
      <w:r w:rsidRPr="00EA0730">
        <w:rPr>
          <w:rFonts w:ascii="Times New Roman" w:hAnsi="Times New Roman" w:cs="Times New Roman"/>
          <w:sz w:val="24"/>
          <w:szCs w:val="24"/>
          <w:highlight w:val="cyan"/>
        </w:rPr>
        <w:lastRenderedPageBreak/>
        <w:t>Sicherheitsbeleuchtung ist für wichtige Bereiche erforderlich, und die Netzersatzanlage (NEA) sollte mindestens 30% Reserve gegenüber der aktuellen Last haben. Regelmäßige Funktionstests der NEA sind notwendig, und die Nachbetankung sollte logistisch vorbereitet sein.</w:t>
      </w:r>
    </w:p>
    <w:p w14:paraId="77E87F2E" w14:textId="0255CEB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highlight w:val="cyan"/>
        </w:rPr>
        <w:t>Eine zweite Netzersatzanlage und eine externe Stromeinspeisung sollten vorhanden sein, um längere Stromausfälle zu bewältigen. Die Anbindung eines mobilen Netzersatzstromerzeugers sollte vertraglich geregelt werden, und die Leistungsfähigkeit sowie die Einhaltung der Vorschriften müssen sichergestellt sein. Hochvoltstecker oder Klemmen auf Sammelschienen können für die Stromzuführung verwendet werden.</w:t>
      </w:r>
    </w:p>
    <w:p w14:paraId="2D6402D2"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2.1.2.</w:t>
      </w:r>
      <w:r w:rsidRPr="00EA0730">
        <w:rPr>
          <w:rFonts w:ascii="Times New Roman" w:hAnsi="Times New Roman" w:cs="Times New Roman"/>
          <w:sz w:val="24"/>
          <w:szCs w:val="24"/>
        </w:rPr>
        <w:tab/>
        <w:t>Ausfall der internen Stromversorgung:</w:t>
      </w:r>
    </w:p>
    <w:p w14:paraId="70CCF68C" w14:textId="251B199B" w:rsidR="003B55EC" w:rsidRPr="00EA0730" w:rsidRDefault="00ED03DD" w:rsidP="00EA0730">
      <w:pPr>
        <w:ind w:right="1134"/>
        <w:rPr>
          <w:rFonts w:ascii="Times New Roman" w:hAnsi="Times New Roman" w:cs="Times New Roman"/>
          <w:sz w:val="24"/>
          <w:szCs w:val="24"/>
        </w:rPr>
      </w:pPr>
      <w:r w:rsidRPr="00EA0730">
        <w:rPr>
          <w:rFonts w:ascii="Times New Roman" w:hAnsi="Times New Roman" w:cs="Times New Roman"/>
          <w:sz w:val="24"/>
          <w:szCs w:val="24"/>
        </w:rPr>
        <w:t>U</w:t>
      </w:r>
      <w:r w:rsidR="003B55EC" w:rsidRPr="00EA0730">
        <w:rPr>
          <w:rFonts w:ascii="Times New Roman" w:hAnsi="Times New Roman" w:cs="Times New Roman"/>
          <w:sz w:val="24"/>
          <w:szCs w:val="24"/>
        </w:rPr>
        <w:t>m die Auswirkungen von internen Stromausfällen in Leitstellen zu minimieren, sollten alle wichtigen Komponenten doppelte Netzteile haben und an unterschiedliche Stromkreise oder USV-</w:t>
      </w:r>
      <w:r w:rsidR="003B55EC" w:rsidRPr="00EA0730">
        <w:rPr>
          <w:rFonts w:ascii="Times New Roman" w:hAnsi="Times New Roman" w:cs="Times New Roman"/>
          <w:sz w:val="24"/>
          <w:szCs w:val="24"/>
          <w:highlight w:val="darkBlue"/>
        </w:rPr>
        <w:t>Stromkreise angeschlossen werden; zusätzlich sollten Geräte ohne doppelte Netzteile an Stromversorgungsleisten angeschlossen werden, die automatisch zwischen verschiedenen Stromquellen umschalten können, während es sich bewährt hat, in Leitstellen drei Stromkreisgruppen einzurichten: Allgemeinverteilung ohne USV, Sicherheitsverteilung mit Notstrom und Unterbrechungsfreie Stromversorgung mit USV,</w:t>
      </w:r>
      <w:r w:rsidR="003B55EC" w:rsidRPr="00EA0730">
        <w:rPr>
          <w:rFonts w:ascii="Times New Roman" w:hAnsi="Times New Roman" w:cs="Times New Roman"/>
          <w:sz w:val="24"/>
          <w:szCs w:val="24"/>
        </w:rPr>
        <w:t xml:space="preserve"> wobei die Möglichkeit einer internen Stromverteilung durch das örtliche THW in Betracht gezogen werden kann und vorab in einer Übung getestet werden sollte.</w:t>
      </w:r>
    </w:p>
    <w:p w14:paraId="021B44E9"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2.2.</w:t>
      </w:r>
      <w:r w:rsidRPr="00EA0730">
        <w:rPr>
          <w:rFonts w:ascii="Times New Roman" w:hAnsi="Times New Roman" w:cs="Times New Roman"/>
          <w:sz w:val="24"/>
          <w:szCs w:val="24"/>
        </w:rPr>
        <w:tab/>
        <w:t>Telefonanschlüsse:</w:t>
      </w:r>
    </w:p>
    <w:p w14:paraId="7C5BB499" w14:textId="28B00D0C" w:rsidR="00F971DB" w:rsidRPr="00EA0730" w:rsidRDefault="00F971DB" w:rsidP="00EA0730">
      <w:pPr>
        <w:ind w:right="1134"/>
        <w:rPr>
          <w:rFonts w:ascii="Times New Roman" w:hAnsi="Times New Roman" w:cs="Times New Roman"/>
          <w:sz w:val="24"/>
          <w:szCs w:val="24"/>
        </w:rPr>
      </w:pPr>
      <w:r w:rsidRPr="00EA0730">
        <w:rPr>
          <w:rFonts w:ascii="Times New Roman" w:hAnsi="Times New Roman" w:cs="Times New Roman"/>
          <w:sz w:val="24"/>
          <w:szCs w:val="24"/>
        </w:rPr>
        <w:t xml:space="preserve">Die Fachgremien arbeiten an den Anforderungen für den IP-Notrufanschluss, aber abschließende Regelungen durch die Bundesnetzagentur in einer neuen Technischen Richtlinie "Notrufverbindungen" stehen noch aus und werden in einer überarbeiteten Version dieses Dokuments eingefügt. Der IP-Notruf wird wahrscheinlich empfindlicher auf Stromausfälle reagieren als der bisherige Notruf im Notrufsystem 73. Nach der Verabschiedung der geänderten TR-Notruf (2.0) wird der Wechsel von ISDN-Anschlüssen zu All-IP-Anschlüssen erforderlich sein, wobei eine physikalische Zweiwege-Anbindung als Standard angesehen wird. Bei All-IP-Anschlüssen ist die Einrichtung eines redundanten Session Border Controllers (SBC) erforderlich, um die Leitstellentechnik vor Angriffen zu schützen und zusätzliche Aufgaben wie die Bandbreitenregelung zu übernehmen. Informationen von T-Systems deuten darauf hin, dass sowohl der </w:t>
      </w:r>
      <w:proofErr w:type="spellStart"/>
      <w:r w:rsidRPr="00EA0730">
        <w:rPr>
          <w:rFonts w:ascii="Times New Roman" w:hAnsi="Times New Roman" w:cs="Times New Roman"/>
          <w:sz w:val="24"/>
          <w:szCs w:val="24"/>
        </w:rPr>
        <w:t>Erstweg</w:t>
      </w:r>
      <w:proofErr w:type="spellEnd"/>
      <w:r w:rsidRPr="00EA0730">
        <w:rPr>
          <w:rFonts w:ascii="Times New Roman" w:hAnsi="Times New Roman" w:cs="Times New Roman"/>
          <w:sz w:val="24"/>
          <w:szCs w:val="24"/>
        </w:rPr>
        <w:t xml:space="preserve"> als auch der </w:t>
      </w:r>
      <w:proofErr w:type="spellStart"/>
      <w:r w:rsidRPr="00EA0730">
        <w:rPr>
          <w:rFonts w:ascii="Times New Roman" w:hAnsi="Times New Roman" w:cs="Times New Roman"/>
          <w:sz w:val="24"/>
          <w:szCs w:val="24"/>
        </w:rPr>
        <w:t>Zweitweg</w:t>
      </w:r>
      <w:proofErr w:type="spellEnd"/>
      <w:r w:rsidRPr="00EA0730">
        <w:rPr>
          <w:rFonts w:ascii="Times New Roman" w:hAnsi="Times New Roman" w:cs="Times New Roman"/>
          <w:sz w:val="24"/>
          <w:szCs w:val="24"/>
        </w:rPr>
        <w:t xml:space="preserve"> als LWL-Anschluss eingerichtet werden müssen, wenn ein </w:t>
      </w:r>
      <w:proofErr w:type="spellStart"/>
      <w:r w:rsidRPr="00EA0730">
        <w:rPr>
          <w:rFonts w:ascii="Times New Roman" w:hAnsi="Times New Roman" w:cs="Times New Roman"/>
          <w:sz w:val="24"/>
          <w:szCs w:val="24"/>
        </w:rPr>
        <w:t>Zweitweg</w:t>
      </w:r>
      <w:proofErr w:type="spellEnd"/>
      <w:r w:rsidRPr="00EA0730">
        <w:rPr>
          <w:rFonts w:ascii="Times New Roman" w:hAnsi="Times New Roman" w:cs="Times New Roman"/>
          <w:sz w:val="24"/>
          <w:szCs w:val="24"/>
        </w:rPr>
        <w:t xml:space="preserve"> installiert wird.</w:t>
      </w:r>
    </w:p>
    <w:p w14:paraId="4BD71D3A"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2.3.</w:t>
      </w:r>
      <w:r w:rsidRPr="00EA0730">
        <w:rPr>
          <w:rFonts w:ascii="Times New Roman" w:hAnsi="Times New Roman" w:cs="Times New Roman"/>
          <w:sz w:val="24"/>
          <w:szCs w:val="24"/>
        </w:rPr>
        <w:tab/>
        <w:t>Datenanschlüsse:</w:t>
      </w:r>
    </w:p>
    <w:p w14:paraId="16891F14" w14:textId="68BBF61D"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 xml:space="preserve">Die gleichen Bedingungen wie unter Punkt 2.2 "Telefonanschlüsse" gelten hier, und im Falle eines Anschlussausfalls kann auf Mobilfunknetze (GPRS, LTE) mit entsprechenden Gateways zur breitbandigen Datenanbindung zurückgegriffen werden. Bei dieser Lösung ist zu beachten, dass der Zugriff auf interne Systeme und Netze gesondert eingerichtet und abgesichert werden muss. Richtfunkverbindungen sind eine alternative Option, insbesondere für die </w:t>
      </w:r>
      <w:r w:rsidRPr="00EA0730">
        <w:rPr>
          <w:rFonts w:ascii="Times New Roman" w:hAnsi="Times New Roman" w:cs="Times New Roman"/>
          <w:sz w:val="24"/>
          <w:szCs w:val="24"/>
        </w:rPr>
        <w:lastRenderedPageBreak/>
        <w:t>Anbindung von Leitstellen an andere Standorte der Verwaltung, und bieten wirtschaftliche Vorteile im Vergleich zu herkömmlichen Leitungsverbindungen.</w:t>
      </w:r>
    </w:p>
    <w:p w14:paraId="2579F00C"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2.4.</w:t>
      </w:r>
      <w:r w:rsidRPr="00EA0730">
        <w:rPr>
          <w:rFonts w:ascii="Times New Roman" w:hAnsi="Times New Roman" w:cs="Times New Roman"/>
          <w:sz w:val="24"/>
          <w:szCs w:val="24"/>
        </w:rPr>
        <w:tab/>
        <w:t>Klimatechnik/ Kühlung/ Heizung:</w:t>
      </w:r>
    </w:p>
    <w:p w14:paraId="51FAD586" w14:textId="0DB28298"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Die Leitstelle benötigt separate Kühlsysteme für den Technikraum und eine Klimatisierung mit Befeuchtung im Betriebsraum. Das Technikraum-Kühlsystem muss redundant sein, während für den Betriebsraum eine 70%ige Redundanz empfohlen wird, etwa durch Klima-</w:t>
      </w:r>
      <w:proofErr w:type="spellStart"/>
      <w:r w:rsidRPr="00EA0730">
        <w:rPr>
          <w:rFonts w:ascii="Times New Roman" w:hAnsi="Times New Roman" w:cs="Times New Roman"/>
          <w:sz w:val="24"/>
          <w:szCs w:val="24"/>
        </w:rPr>
        <w:t>Splitgeräte</w:t>
      </w:r>
      <w:proofErr w:type="spellEnd"/>
      <w:r w:rsidRPr="00EA0730">
        <w:rPr>
          <w:rFonts w:ascii="Times New Roman" w:hAnsi="Times New Roman" w:cs="Times New Roman"/>
          <w:sz w:val="24"/>
          <w:szCs w:val="24"/>
        </w:rPr>
        <w:t>. Die Lüftungsanlage sollte Rauch- und Erdgasdetektoren haben, um bei Gefahr rechtzeitig zu reagieren. Ein Servicevertrag mit dem Hersteller für regelmäßige Wartung und rund um die Uhr Erreichbarkeit ist ratsam.</w:t>
      </w:r>
    </w:p>
    <w:p w14:paraId="1EDE555E" w14:textId="2617A22C"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Die Heizungsanlage sollte notstromversorgt sein oder ein Blockheizkraftwerk (BHKW) nutzen, das auch als Notstromquelle fungiert. Die Gasversorgung für ein BHKW bleibt normalerweise stabil bei längeren Stromausfällen. Bei Fernwärme ist redundante Technik erforderlich, und ein Servicevertrag mit regelmäßiger Wartung und 24/7 Erreichbarkeit des Herstellers wird empfohlen.</w:t>
      </w:r>
    </w:p>
    <w:p w14:paraId="527DA8E6"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2.5.</w:t>
      </w:r>
      <w:r w:rsidRPr="00EA0730">
        <w:rPr>
          <w:rFonts w:ascii="Times New Roman" w:hAnsi="Times New Roman" w:cs="Times New Roman"/>
          <w:sz w:val="24"/>
          <w:szCs w:val="24"/>
        </w:rPr>
        <w:tab/>
        <w:t>Vorbeugender Brandschutz in Leitstellen:</w:t>
      </w:r>
    </w:p>
    <w:p w14:paraId="19675E04" w14:textId="14F58FF9" w:rsidR="00CB7E12"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Im Augenmerk befinden sich Funktionserhalt der Leitstelle</w:t>
      </w:r>
      <w:r w:rsidR="00CB7E12" w:rsidRPr="00EA0730">
        <w:rPr>
          <w:rFonts w:ascii="Times New Roman" w:hAnsi="Times New Roman" w:cs="Times New Roman"/>
          <w:sz w:val="24"/>
          <w:szCs w:val="24"/>
        </w:rPr>
        <w:t>, dabei gliedern sich d</w:t>
      </w:r>
      <w:r w:rsidRPr="00EA0730">
        <w:rPr>
          <w:rFonts w:ascii="Times New Roman" w:hAnsi="Times New Roman" w:cs="Times New Roman"/>
          <w:sz w:val="24"/>
          <w:szCs w:val="24"/>
        </w:rPr>
        <w:t>ie Maßnahmen des VB in drei Bereiche</w:t>
      </w:r>
      <w:r w:rsidR="00CB7E12" w:rsidRPr="00EA0730">
        <w:rPr>
          <w:rFonts w:ascii="Times New Roman" w:hAnsi="Times New Roman" w:cs="Times New Roman"/>
          <w:sz w:val="24"/>
          <w:szCs w:val="24"/>
        </w:rPr>
        <w:t>: b</w:t>
      </w:r>
      <w:r w:rsidRPr="00EA0730">
        <w:rPr>
          <w:rFonts w:ascii="Times New Roman" w:hAnsi="Times New Roman" w:cs="Times New Roman"/>
          <w:sz w:val="24"/>
          <w:szCs w:val="24"/>
        </w:rPr>
        <w:t>aulicher Brandschutz</w:t>
      </w:r>
      <w:r w:rsidR="00CB7E12" w:rsidRPr="00EA0730">
        <w:rPr>
          <w:rFonts w:ascii="Times New Roman" w:hAnsi="Times New Roman" w:cs="Times New Roman"/>
          <w:sz w:val="24"/>
          <w:szCs w:val="24"/>
        </w:rPr>
        <w:t>, te</w:t>
      </w:r>
      <w:r w:rsidRPr="00EA0730">
        <w:rPr>
          <w:rFonts w:ascii="Times New Roman" w:hAnsi="Times New Roman" w:cs="Times New Roman"/>
          <w:sz w:val="24"/>
          <w:szCs w:val="24"/>
        </w:rPr>
        <w:t xml:space="preserve">chnischer Brandschutz </w:t>
      </w:r>
      <w:r w:rsidR="00CB7E12" w:rsidRPr="00EA0730">
        <w:rPr>
          <w:rFonts w:ascii="Times New Roman" w:hAnsi="Times New Roman" w:cs="Times New Roman"/>
          <w:sz w:val="24"/>
          <w:szCs w:val="24"/>
        </w:rPr>
        <w:t>b</w:t>
      </w:r>
      <w:r w:rsidRPr="00EA0730">
        <w:rPr>
          <w:rFonts w:ascii="Times New Roman" w:hAnsi="Times New Roman" w:cs="Times New Roman"/>
          <w:sz w:val="24"/>
          <w:szCs w:val="24"/>
        </w:rPr>
        <w:t>etrieblicher und Organisatorischer Brandschutz</w:t>
      </w:r>
    </w:p>
    <w:p w14:paraId="6AFD6E51" w14:textId="107C4DF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 xml:space="preserve">Der wirksame vorbeugende Brandschutz in Leitstellen erfordert eine enge Abstimmung und Integration von Brandschutz, </w:t>
      </w:r>
      <w:proofErr w:type="spellStart"/>
      <w:r w:rsidRPr="00EA0730">
        <w:rPr>
          <w:rFonts w:ascii="Times New Roman" w:hAnsi="Times New Roman" w:cs="Times New Roman"/>
          <w:sz w:val="24"/>
          <w:szCs w:val="24"/>
        </w:rPr>
        <w:t>Perimeterschutz</w:t>
      </w:r>
      <w:proofErr w:type="spellEnd"/>
      <w:r w:rsidRPr="00EA0730">
        <w:rPr>
          <w:rFonts w:ascii="Times New Roman" w:hAnsi="Times New Roman" w:cs="Times New Roman"/>
          <w:sz w:val="24"/>
          <w:szCs w:val="24"/>
        </w:rPr>
        <w:t xml:space="preserve"> und Intrusionsschutz. Die Planung, Errichtung und der Betrieb sollten sich an baurechtlichen Vorschriften, einschließlich Landesbauordnungen und weiteren Rechtsvorschriften wie MLAR, DIN-Normen und </w:t>
      </w:r>
      <w:proofErr w:type="spellStart"/>
      <w:r w:rsidRPr="00EA0730">
        <w:rPr>
          <w:rFonts w:ascii="Times New Roman" w:hAnsi="Times New Roman" w:cs="Times New Roman"/>
          <w:sz w:val="24"/>
          <w:szCs w:val="24"/>
        </w:rPr>
        <w:t>VdS</w:t>
      </w:r>
      <w:proofErr w:type="spellEnd"/>
      <w:r w:rsidRPr="00EA0730">
        <w:rPr>
          <w:rFonts w:ascii="Times New Roman" w:hAnsi="Times New Roman" w:cs="Times New Roman"/>
          <w:sz w:val="24"/>
          <w:szCs w:val="24"/>
        </w:rPr>
        <w:t>-Richtlinien orientieren. Die europäische Normenreihe EN 50600 für Rechenzentren kann ebenfalls für eine zukunftssichere Planung herangezogen werden. Zusätzlich zum Brandschutz muss auch der Schutz vor Eingriffen von außen, wie Brandstiftungen, berücksichtigt werden.</w:t>
      </w:r>
    </w:p>
    <w:p w14:paraId="177E034D"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2.5.1.</w:t>
      </w:r>
      <w:r w:rsidRPr="00EA0730">
        <w:rPr>
          <w:rFonts w:ascii="Times New Roman" w:hAnsi="Times New Roman" w:cs="Times New Roman"/>
          <w:sz w:val="24"/>
          <w:szCs w:val="24"/>
        </w:rPr>
        <w:tab/>
        <w:t xml:space="preserve"> Baulicher Brandschutz:</w:t>
      </w:r>
    </w:p>
    <w:p w14:paraId="12CD9137" w14:textId="6FA5CE3A"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Leitstellen müssen den üblichen baulichen Brandschutzvorgaben der Landesbauordnungen entsprechen, ohne spezielle Abweichungen. Bei Umbauten und Erweiterungen von Bestandsgebäuden sind spezielle Brandschutzmaßnahmen erforderlich.</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Die Leitstellentechnik erfordert redundante Serversysteme in getrennten Räumen mit mindestens REI90-Feuerwiderstand. Andere technische Systeme wie Heizung, Lüftung, Klima und Sicherheitsstromversorgung sollten separat untergebracht werden.</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Durchführungen für Energieversorgung, Datenübertragung und Haustechnik müssen den Brandschutzanforderungen der MLAR und M-</w:t>
      </w:r>
      <w:proofErr w:type="spellStart"/>
      <w:r w:rsidRPr="00EA0730">
        <w:rPr>
          <w:rFonts w:ascii="Times New Roman" w:hAnsi="Times New Roman" w:cs="Times New Roman"/>
          <w:sz w:val="24"/>
          <w:szCs w:val="24"/>
        </w:rPr>
        <w:t>LüAR</w:t>
      </w:r>
      <w:proofErr w:type="spellEnd"/>
      <w:r w:rsidRPr="00EA0730">
        <w:rPr>
          <w:rFonts w:ascii="Times New Roman" w:hAnsi="Times New Roman" w:cs="Times New Roman"/>
          <w:sz w:val="24"/>
          <w:szCs w:val="24"/>
        </w:rPr>
        <w:t xml:space="preserve"> entsprechen. Bei Platzmangel sollten ausreichende Lagerräume geplant werden, da Lagerungen in Technikräumen nicht zulässig sind.</w:t>
      </w:r>
    </w:p>
    <w:p w14:paraId="73489E61"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2.5.2.</w:t>
      </w:r>
      <w:r w:rsidRPr="00EA0730">
        <w:rPr>
          <w:rFonts w:ascii="Times New Roman" w:hAnsi="Times New Roman" w:cs="Times New Roman"/>
          <w:sz w:val="24"/>
          <w:szCs w:val="24"/>
        </w:rPr>
        <w:tab/>
        <w:t xml:space="preserve"> Anlagentechnischer Brandschutz:</w:t>
      </w:r>
    </w:p>
    <w:p w14:paraId="061F9C9E" w14:textId="77777777" w:rsidR="00ED03DD"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lastRenderedPageBreak/>
        <w:t>Sauerstoffreduzieranlagen können in Räumen wie Serverräumen eingesetzt werden, um die Brandgefahr zu minimieren, indem sie den Sauerstoffgehalt in der Luft reduzieren. Diese Maßnahme erfordert spezielle Anforderungen an die Raumausstattung und ist besonders für Technikräume geeignet, in denen keine dauerhaften Personen anwesend sind. Bei großen Leitstellen oder gemeinsamen Rechenzentren mehrerer Leitstellen kann dies sinnvoll sein, auch wenn es zusätzlichen Platz- und Energiebedarf mit sich bringt. Personen, die gelegentlich in solchen Räumen arbeiten, müssen spezielle Arbeitsschutzvorschriften beachten.</w:t>
      </w:r>
      <w:r w:rsidR="00ED03DD" w:rsidRPr="00EA0730">
        <w:rPr>
          <w:rFonts w:ascii="Times New Roman" w:hAnsi="Times New Roman" w:cs="Times New Roman"/>
          <w:sz w:val="24"/>
          <w:szCs w:val="24"/>
        </w:rPr>
        <w:t xml:space="preserve"> </w:t>
      </w:r>
    </w:p>
    <w:p w14:paraId="64EB09D3" w14:textId="77777777" w:rsidR="00ED03DD" w:rsidRPr="00EA0730" w:rsidRDefault="00ED03DD" w:rsidP="00EA0730">
      <w:pPr>
        <w:ind w:right="1134"/>
        <w:rPr>
          <w:rFonts w:ascii="Times New Roman" w:hAnsi="Times New Roman" w:cs="Times New Roman"/>
          <w:sz w:val="24"/>
          <w:szCs w:val="24"/>
        </w:rPr>
      </w:pPr>
    </w:p>
    <w:p w14:paraId="5F2451BD" w14:textId="62F9DF75"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Leitstellenräume erfordern eine umfassende Brandmeldeanlage (BMA-Vollschutz) zur Überwachung aller Bereiche, inklusive Doppelböden und abgehängter Decken. In Räumen mit Sauerstoffreduzierung ist eine</w:t>
      </w:r>
      <w:r w:rsidR="00DD5859" w:rsidRPr="00EA0730">
        <w:rPr>
          <w:rFonts w:ascii="Times New Roman" w:hAnsi="Times New Roman" w:cs="Times New Roman"/>
          <w:sz w:val="24"/>
          <w:szCs w:val="24"/>
        </w:rPr>
        <w:t xml:space="preserve"> frühe</w:t>
      </w:r>
      <w:r w:rsidRPr="00EA0730">
        <w:rPr>
          <w:rFonts w:ascii="Times New Roman" w:hAnsi="Times New Roman" w:cs="Times New Roman"/>
          <w:sz w:val="24"/>
          <w:szCs w:val="24"/>
        </w:rPr>
        <w:t xml:space="preserve"> </w:t>
      </w:r>
      <w:r w:rsidR="00DD5859" w:rsidRPr="00EA0730">
        <w:rPr>
          <w:rFonts w:ascii="Times New Roman" w:hAnsi="Times New Roman" w:cs="Times New Roman"/>
          <w:sz w:val="24"/>
          <w:szCs w:val="24"/>
        </w:rPr>
        <w:t>BMA</w:t>
      </w:r>
      <w:r w:rsidRPr="00EA0730">
        <w:rPr>
          <w:rFonts w:ascii="Times New Roman" w:hAnsi="Times New Roman" w:cs="Times New Roman"/>
          <w:sz w:val="24"/>
          <w:szCs w:val="24"/>
        </w:rPr>
        <w:t xml:space="preserve"> erforderlich. Die Auslösung der BMA sollte in der eigenen und ggf. benachbarten Leitstelle signalisiert werden, ergänzt durch einen Hausalarm (SAA).</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Für die Brandlöschung sind Gaslöschanlagen vorzusehen, um Schäden durch Löschmittel zu vermeiden. Diese sind nur für Technikräume geeignet. Alternativ können Objektlöschanlagen für Technikschränke im Einbaumaß (19") verwendet werden, um Entstehungsbrände gezielt zu bekämpfen.</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Bei der Verwendung von Gaslöschanlagen oder Sauerstoffreduzierungsanlagen für den Schutz der EDV-Technik sind die entsprechenden Auslegungsvorschriften zu beachten. Es ist wichtig zu beachten, dass Energiequellen und Betriebsmittel abgeschaltet werden müssen, es sei denn, geeignete Maßnahmen zur Minimierung von Rückzündungsgefahren wurden ergriffen, was die Unterbrechung der Datenverfügbarkeit und den Abbruch von Prozessen zur Folge haben kann.</w:t>
      </w:r>
    </w:p>
    <w:p w14:paraId="0F60A09F"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2.5.3.</w:t>
      </w:r>
      <w:r w:rsidRPr="00EA0730">
        <w:rPr>
          <w:rFonts w:ascii="Times New Roman" w:hAnsi="Times New Roman" w:cs="Times New Roman"/>
          <w:sz w:val="24"/>
          <w:szCs w:val="24"/>
        </w:rPr>
        <w:tab/>
        <w:t xml:space="preserve"> Betrieblicher und Organisatorischer Brandschutz:</w:t>
      </w:r>
    </w:p>
    <w:p w14:paraId="2CA1DDFD" w14:textId="2E47F4DE"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Der betriebliche und organisatorische Brandschutz in Leitstellen, der die Erstellung und Aktualisierung der Brandschutzordnung, die Benennung eines Brandschutzbeauftragten, die Ausbildung von Brandschutzhelfern, die Bereitstellung von Selbsthilfeeinrichtungen und die regelmäßige Überprüfung der Brandrisiken gemäß der Arbeitsstättenverordnung einschließt, sollte sowohl die feuerwehrtechnischen Kenntnisse des Personals als auch die Vorbildfunktion einer BOS-Einrichtung berücksichtigen, während die Brandschutzordnung Teil B Verhaltensregeln zum Umgang mit offenem Feuer, zur Freihaltung von Flucht- und Rettungswegen sowie zur Vermeidung der Nutzung von Technikräumen als Lager vorsieht, und die Planung ausreichend Lagerräume berücksichtigen sollte.</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Die Brandschutzordnung muss klare Regelungen für das Verhalten im Brandfall und die Gebäuderäumung enthalten, wobei Ausnahmen bis zur Übernahme durch eine Redundanzleitstelle definiert werden können und dies in einem Notfallkonzept abgestimmt sein sollte; Zusammenarbeit mit Brandschutzexperten ist entscheidend, um die erforderlichen Maßnahmen abzustimmen und sicherzustellen, dass diese Personen unabhängig sind; ein erfahrener Brandschutz-Fachplaner sollte ein schlüssiges Brandschutzkonzept erstellen, was oft bei baurechtlichen Verfahren gefordert wird, und in der Bauphase ist ein Fachbauleiter Brandschutz oder ein Objektüberwacher notwendig.</w:t>
      </w:r>
    </w:p>
    <w:p w14:paraId="58CDFE5D"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2.6.</w:t>
      </w:r>
      <w:r w:rsidRPr="00EA0730">
        <w:rPr>
          <w:rFonts w:ascii="Times New Roman" w:hAnsi="Times New Roman" w:cs="Times New Roman"/>
          <w:sz w:val="24"/>
          <w:szCs w:val="24"/>
        </w:rPr>
        <w:tab/>
        <w:t>Blitz- und Überspannungsschutz:</w:t>
      </w:r>
    </w:p>
    <w:p w14:paraId="71A40C40" w14:textId="2BA29ACC"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lastRenderedPageBreak/>
        <w:t>Der Blitzschutz in Leitstellen zielt darauf ab, Brände durch Blitzeinschläge zu verhindern und elektronische Geräte vor blitzbedingten Überspannungen zu schützen, wobei sowohl der äußere als auch der innere Blitzschutz von entscheidender Bedeutung sind und die Einbeziehung eines Fachplaners ratsam ist.</w:t>
      </w:r>
    </w:p>
    <w:p w14:paraId="3D76E49E"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3.</w:t>
      </w:r>
      <w:r w:rsidRPr="00EA0730">
        <w:rPr>
          <w:rFonts w:ascii="Times New Roman" w:hAnsi="Times New Roman" w:cs="Times New Roman"/>
          <w:sz w:val="24"/>
          <w:szCs w:val="24"/>
        </w:rPr>
        <w:tab/>
        <w:t>Betriebssicherheit der Leitstellentechnik:</w:t>
      </w:r>
    </w:p>
    <w:p w14:paraId="5372F88A" w14:textId="61543BEA" w:rsidR="00ED03DD"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 xml:space="preserve">Die Leitstellentechnik muss hochgradig redundant sein, um eine Verfügbarkeit von 99,99% gemäß den BSI-Richtlinien zu gewährleisten, was einer maximalen Ausfallzeit von 52,6 Minuten pro Jahr entspricht, und dafür sind drei Bedienebenen erforderlich: Regelbetriebsebene, Rückfallebene und </w:t>
      </w:r>
      <w:proofErr w:type="spellStart"/>
      <w:r w:rsidRPr="00EA0730">
        <w:rPr>
          <w:rFonts w:ascii="Times New Roman" w:hAnsi="Times New Roman" w:cs="Times New Roman"/>
          <w:sz w:val="24"/>
          <w:szCs w:val="24"/>
        </w:rPr>
        <w:t>Notebene</w:t>
      </w:r>
      <w:proofErr w:type="spellEnd"/>
      <w:r w:rsidRPr="00EA0730">
        <w:rPr>
          <w:rFonts w:ascii="Times New Roman" w:hAnsi="Times New Roman" w:cs="Times New Roman"/>
          <w:sz w:val="24"/>
          <w:szCs w:val="24"/>
        </w:rPr>
        <w:t>, wobei bewährte Standardkomponenten von weltweit anerkannten Herstellern verwendet werden sollen, und eine umfassende Anlagendokumentation muss vom Errichter bereitgestellt und fortlaufend aktualisiert werden.</w:t>
      </w:r>
    </w:p>
    <w:p w14:paraId="070F507A"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3.1.</w:t>
      </w:r>
      <w:r w:rsidRPr="00EA0730">
        <w:rPr>
          <w:rFonts w:ascii="Times New Roman" w:hAnsi="Times New Roman" w:cs="Times New Roman"/>
          <w:sz w:val="24"/>
          <w:szCs w:val="24"/>
        </w:rPr>
        <w:tab/>
        <w:t>Systemüberwachung (Monitoring):</w:t>
      </w:r>
    </w:p>
    <w:p w14:paraId="15CA798C" w14:textId="3F8F9379"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Die Implementierung eines IT-Monitoring-Systems zur frühzeitigen Erkennung technischer Probleme und Störungen in der Leitstellentechnik, indem alle relevanten Komponenten an dieses System angeschlossen werden und darauf geachtet wird, dass sie geeignete Meldungen senden können, ist dringend empfohlen, wobei auch die Überwachung von infrastrukturellen Komponenten und regelmäßige Tests durch qualifiziertes Personal durchgeführt werden sollten, und kritische Meldungen sowohl intern angezeigt als auch mit klaren Handlungsanweisungen versehen werden sollten, wobei die Auswahl robuster Kommunikationswege für den Alarmfall von größter Bedeutung ist.</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Es gibt verschiedene IT-Monitoring-Systeme wie NAGIOS, ICINGA und Check-MK, die Meldungen über verschiedene Kommunikationswege an das Fachpersonal senden können, sowohl innerhalb als auch außerhalb der Leitstelle, wobei bei der Auswahl der Kommunikationswege auf Ausfallsicherheit geachtet werden sollte, und klare Handlungsanweisungen, vorzugsweise in Form von Notfall- und Betriebshandbüchern, erstellt und regelmäßig aktualisiert werden sollten, um im Ernstfall die erforderlichen Maßnahmen sicherzustellen.</w:t>
      </w:r>
    </w:p>
    <w:p w14:paraId="13A59F71"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3.1.1.</w:t>
      </w:r>
      <w:r w:rsidRPr="00EA0730">
        <w:rPr>
          <w:rFonts w:ascii="Times New Roman" w:hAnsi="Times New Roman" w:cs="Times New Roman"/>
          <w:sz w:val="24"/>
          <w:szCs w:val="24"/>
        </w:rPr>
        <w:tab/>
        <w:t xml:space="preserve"> Prüfung der Leitstellentechnik:</w:t>
      </w:r>
    </w:p>
    <w:p w14:paraId="53E272A3" w14:textId="5C5ED39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Die DIN EN 50518 fordert regelmäßige manuelle Inspektionen neben dem automatisierten IT-Monitoring, um den Zustand und mögliche Probleme zu überwachen, einschließlich Prüfungen von Einrichtungen, Kommunikationssystemen, Leitungen, Anzeige- und Bedieneinrichtungen, Alarmanlagen, Stromversorgungen und Notbeleuchtungseinrichtungen, während präventive Wartungsmaßnahmen, Dokumentation, regelmäßige Audits und die Erstellung von Handbüchern einen zusätzlichen technischen und personellen Aufwand erfordern, der bei der Personal- und Kostenplanung für den Leitstellenbetrieb berücksichtigt werden muss.</w:t>
      </w:r>
    </w:p>
    <w:p w14:paraId="3154C716"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3.1.2.</w:t>
      </w:r>
      <w:r w:rsidRPr="00EA0730">
        <w:rPr>
          <w:rFonts w:ascii="Times New Roman" w:hAnsi="Times New Roman" w:cs="Times New Roman"/>
          <w:sz w:val="24"/>
          <w:szCs w:val="24"/>
        </w:rPr>
        <w:tab/>
        <w:t xml:space="preserve"> Fortschreibung der Anlagendokumentation:</w:t>
      </w:r>
    </w:p>
    <w:p w14:paraId="1C6651BD" w14:textId="3363D8AD"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lastRenderedPageBreak/>
        <w:t>Die Systemdokumentation der Leitstellentechnik muss regelmäßig aktualisiert, elektronisch gespeichert und an einem sicheren externen Ort als vertrauliche Informationen aufbewahrt werden.</w:t>
      </w:r>
    </w:p>
    <w:p w14:paraId="1C5A82B9"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3.2.</w:t>
      </w:r>
      <w:r w:rsidRPr="00EA0730">
        <w:rPr>
          <w:rFonts w:ascii="Times New Roman" w:hAnsi="Times New Roman" w:cs="Times New Roman"/>
          <w:sz w:val="24"/>
          <w:szCs w:val="24"/>
        </w:rPr>
        <w:tab/>
        <w:t>Funk-Notruf-Abfrage-System (FNAS):</w:t>
      </w:r>
    </w:p>
    <w:p w14:paraId="5755BC7C" w14:textId="1D0BE9CC"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Funk-Notruf-Abfrage-Systeme (FNAS) sind entscheidend für die Kommunikation in Leitstellen und erfordern maximale Ausfallsicherheit, redundante Systeme, Überwachung, und sie sollten auf IP-Technologie basieren und auf Standard-IT-Hardware laufen, um sicherzustellen, dass laufende Notrufe oder Gesprächsverbindungen nicht unterbrochen werden, selbst wenn Systemkomponenten ausfallen.</w:t>
      </w:r>
    </w:p>
    <w:p w14:paraId="0F2CD39E"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3.2.1.</w:t>
      </w:r>
      <w:r w:rsidRPr="00EA0730">
        <w:rPr>
          <w:rFonts w:ascii="Times New Roman" w:hAnsi="Times New Roman" w:cs="Times New Roman"/>
          <w:sz w:val="24"/>
          <w:szCs w:val="24"/>
        </w:rPr>
        <w:tab/>
        <w:t xml:space="preserve"> Ausfall des Systems:</w:t>
      </w:r>
    </w:p>
    <w:p w14:paraId="45BEFD76" w14:textId="59133029"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Für eine maximale Verfügbarkeit von mindestens 99,99% sollte das System eine redundante Architektur haben, in der der Ausfall einer zentralen Komponente keinen Einfluss auf die Funktionalität hat und die automatische Redundanz nahtlos im Betrieb gewährleistet ist. Störungen und Ausfälle müssen sofort an ein zentrales Störmeldemanagementsystem gemeldet werden, um schnellstmögliche Entstörungsmaßnahmen zu initiieren, und wichtige Meldungen sollten automatisch an verantwortliches Personal weitergeleitet und am Einsatzleitrechner angezeigt werden, während Rückfallebenen im Falle eines Systemausfalls den Betrieb weitgehend aufrechterhalten können sollten.</w:t>
      </w:r>
    </w:p>
    <w:p w14:paraId="4B0E6006" w14:textId="619864AB"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 xml:space="preserve">Für den Fall eines Ausfalls des redundanten FNAS sind klare Handlungsanweisungen und Notfallpläne erforderlich, die regelmäßig geübt und in Simulationsübungen integriert werden sollten. Es sollten auch Vorkehrungen getroffen werden, um im Falle eines </w:t>
      </w:r>
      <w:proofErr w:type="spellStart"/>
      <w:r w:rsidRPr="00EA0730">
        <w:rPr>
          <w:rFonts w:ascii="Times New Roman" w:hAnsi="Times New Roman" w:cs="Times New Roman"/>
          <w:sz w:val="24"/>
          <w:szCs w:val="24"/>
        </w:rPr>
        <w:t>Telefonieausfalls</w:t>
      </w:r>
      <w:proofErr w:type="spellEnd"/>
      <w:r w:rsidRPr="00EA0730">
        <w:rPr>
          <w:rFonts w:ascii="Times New Roman" w:hAnsi="Times New Roman" w:cs="Times New Roman"/>
          <w:sz w:val="24"/>
          <w:szCs w:val="24"/>
        </w:rPr>
        <w:t xml:space="preserve"> eine Rückfallebene mit IP-Telefonanlagen und Tischtelefonen sowie eine </w:t>
      </w:r>
      <w:proofErr w:type="spellStart"/>
      <w:r w:rsidRPr="00EA0730">
        <w:rPr>
          <w:rFonts w:ascii="Times New Roman" w:hAnsi="Times New Roman" w:cs="Times New Roman"/>
          <w:sz w:val="24"/>
          <w:szCs w:val="24"/>
        </w:rPr>
        <w:t>Notebene</w:t>
      </w:r>
      <w:proofErr w:type="spellEnd"/>
      <w:r w:rsidRPr="00EA0730">
        <w:rPr>
          <w:rFonts w:ascii="Times New Roman" w:hAnsi="Times New Roman" w:cs="Times New Roman"/>
          <w:sz w:val="24"/>
          <w:szCs w:val="24"/>
        </w:rPr>
        <w:t xml:space="preserve"> mit direkten ISDN-Telefonanschlüssen einzurichten. Ebenso sollten Rückfall- und Notebenen für den Funkbereich bereitgestellt werden, um die Kommunikation über analoge und digitale Funksysteme sicherzustellen, wobei im Notfall eigenständige Funkvermittlungen und unabhängige Funkgeräte mit eigener Stromversorgung und Antennenanschluss zum Einsatz kommen sollten.</w:t>
      </w:r>
    </w:p>
    <w:p w14:paraId="01869CF3"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3.3.</w:t>
      </w:r>
      <w:r w:rsidRPr="00EA0730">
        <w:rPr>
          <w:rFonts w:ascii="Times New Roman" w:hAnsi="Times New Roman" w:cs="Times New Roman"/>
          <w:sz w:val="24"/>
          <w:szCs w:val="24"/>
        </w:rPr>
        <w:tab/>
        <w:t>Analoge Funksysteme (BOS-Funk):</w:t>
      </w:r>
    </w:p>
    <w:p w14:paraId="243FD6CB" w14:textId="6CC4663A"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 xml:space="preserve">Die Kommunikation mit Einsatzkräften erfolgt über BOS-Funksysteme, darunter analoge Gleichwellenfunkanlagen, Relaisstellen und digitale Systeme. Störungs- und </w:t>
      </w:r>
      <w:proofErr w:type="spellStart"/>
      <w:r w:rsidRPr="00EA0730">
        <w:rPr>
          <w:rFonts w:ascii="Times New Roman" w:hAnsi="Times New Roman" w:cs="Times New Roman"/>
          <w:sz w:val="24"/>
          <w:szCs w:val="24"/>
        </w:rPr>
        <w:t>Havariekonzepte</w:t>
      </w:r>
      <w:proofErr w:type="spellEnd"/>
      <w:r w:rsidRPr="00EA0730">
        <w:rPr>
          <w:rFonts w:ascii="Times New Roman" w:hAnsi="Times New Roman" w:cs="Times New Roman"/>
          <w:sz w:val="24"/>
          <w:szCs w:val="24"/>
        </w:rPr>
        <w:t xml:space="preserve"> sind wichtig, um Ausfälle zu bewältigen und die Kommunikation aufrechtzuerhalten. Bei einem Ausfall der Sternkopfanbindung kann die Kommunikation innerhalb des Funksystems über ein Funkgerät auf dem Betriebskanal der Gleichwelle fortgesetzt werden.</w:t>
      </w:r>
    </w:p>
    <w:p w14:paraId="401FEC49"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3.4.</w:t>
      </w:r>
      <w:r w:rsidRPr="00EA0730">
        <w:rPr>
          <w:rFonts w:ascii="Times New Roman" w:hAnsi="Times New Roman" w:cs="Times New Roman"/>
          <w:sz w:val="24"/>
          <w:szCs w:val="24"/>
        </w:rPr>
        <w:tab/>
        <w:t>BOS-Digitalfunk:</w:t>
      </w:r>
    </w:p>
    <w:p w14:paraId="23B876E3" w14:textId="26C9D452"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 xml:space="preserve">Die Anbindung der Leitstellentechnik an das BOS-Digitalfunknetz erfolgt leitungsgebunden oder über Richtfunk, empfohlen wird eine Zweiwegeanbindung für Redundanz. Verschiedene Konzepte und technische Ansätze sind je nach Bundesland im Einsatz, um die Leitungsanbindung sicherzustellen, einschließlich Drahtanbindungen und Richtfunk. Im Falle eines kompletten Ausfalls der </w:t>
      </w:r>
      <w:r w:rsidRPr="00EA0730">
        <w:rPr>
          <w:rFonts w:ascii="Times New Roman" w:hAnsi="Times New Roman" w:cs="Times New Roman"/>
          <w:sz w:val="24"/>
          <w:szCs w:val="24"/>
        </w:rPr>
        <w:lastRenderedPageBreak/>
        <w:t>Leitungsanbindung sind spezielle Digitalfunkgeräte in der Leitstelle notwendig, um die Kommunikation mit den Einsatzkräften aufrechtzuerhalten. Dies erfordert auch entsprechende FRTs für den Datenaustausch, die Alarmierung und den Notruf-Overlay, je nach Bedarf und Arbeitsplätzen in der Leitstelle.</w:t>
      </w:r>
    </w:p>
    <w:p w14:paraId="76B5B3D5"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3.5.</w:t>
      </w:r>
      <w:r w:rsidRPr="00EA0730">
        <w:rPr>
          <w:rFonts w:ascii="Times New Roman" w:hAnsi="Times New Roman" w:cs="Times New Roman"/>
          <w:sz w:val="24"/>
          <w:szCs w:val="24"/>
        </w:rPr>
        <w:tab/>
        <w:t>Alarmierungssysteme:</w:t>
      </w:r>
    </w:p>
    <w:p w14:paraId="33C0FC9F" w14:textId="4DBF5C54"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 xml:space="preserve">Es stehen verschiedene Technologien zur Alarmierung der Einsatzkräfte zur Verfügung, darunter analoge und digitale Funkalarmierung, BOS-Digitalfunknetz (TETRA) und </w:t>
      </w:r>
      <w:proofErr w:type="spellStart"/>
      <w:r w:rsidRPr="00EA0730">
        <w:rPr>
          <w:rFonts w:ascii="Times New Roman" w:hAnsi="Times New Roman" w:cs="Times New Roman"/>
          <w:sz w:val="24"/>
          <w:szCs w:val="24"/>
        </w:rPr>
        <w:t>Wachenalarmierung</w:t>
      </w:r>
      <w:proofErr w:type="spellEnd"/>
      <w:r w:rsidRPr="00EA0730">
        <w:rPr>
          <w:rFonts w:ascii="Times New Roman" w:hAnsi="Times New Roman" w:cs="Times New Roman"/>
          <w:sz w:val="24"/>
          <w:szCs w:val="24"/>
        </w:rPr>
        <w:t xml:space="preserve"> (WAL). Diese Systeme sind so gestaltet, dass sie Ausfälle minimieren und Rückfallebenen für den Notfall bieten, um die Kommunikation mit den Einsatzkräften sicherzustellen.</w:t>
      </w:r>
    </w:p>
    <w:p w14:paraId="0DA83E8D" w14:textId="2F6E48E1"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Die Leitstelle kann die Wachen über verschiedene Technologien alarmieren, die Alarmierung, Informationsübermittlung und die Steuerung technischer Systeme ermöglichen. Die Anbindung erfolgt über WAN-Verbindungen oder Standleitungen, mit Redundanzmechanismen bei Leitungsstörungen. Bei WAN-Störungen können alternative Kommunikationswege wie Richtfunk oder Telefon verwendet werden, um die Wachen zu alarmieren und Informationen zu übermitteln. Bei Ausfall automatischer Steuerfunktionen müssen manuelle Eingriffe vor Ort erfolgen, mit entsprechenden Verfahrensanweisungen.</w:t>
      </w:r>
    </w:p>
    <w:p w14:paraId="0A745216" w14:textId="77777777" w:rsidR="003B55EC" w:rsidRPr="00EA0730" w:rsidRDefault="003B55EC" w:rsidP="00EA0730">
      <w:pPr>
        <w:ind w:right="1134"/>
        <w:rPr>
          <w:rFonts w:ascii="Times New Roman" w:hAnsi="Times New Roman" w:cs="Times New Roman"/>
          <w:sz w:val="24"/>
          <w:szCs w:val="24"/>
        </w:rPr>
      </w:pPr>
    </w:p>
    <w:p w14:paraId="2B7DC593"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3.6.</w:t>
      </w:r>
      <w:r w:rsidRPr="00EA0730">
        <w:rPr>
          <w:rFonts w:ascii="Times New Roman" w:hAnsi="Times New Roman" w:cs="Times New Roman"/>
          <w:sz w:val="24"/>
          <w:szCs w:val="24"/>
        </w:rPr>
        <w:tab/>
        <w:t>Einsatzleitsystem:</w:t>
      </w:r>
    </w:p>
    <w:p w14:paraId="131158FE" w14:textId="43EAE49A"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Das Einsatzleitsystem muss hochverfügbar sein, mit Redundanz auf Hardware- und Anwendungsebene sowie unterbrechungsfreier Anbindung an Kommunikationsschnittstellen. Ein Serverausfall darf den Betrieb nicht stören, und ein Backup-Server kann genutzt werden. Papierdokumente sollten als Notfallplanung berücksichtigt werden, und das Netzwerk erfordert ebenfalls Redundanzmaßnahmen.</w:t>
      </w:r>
    </w:p>
    <w:p w14:paraId="1B8FD1C8" w14:textId="288B5226"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Das Einsatzleitsystem erfordert ein redundantes und physisch getrenntes Netzwerk, hochverfügbare aktive Netzwerkkomponenten sowie mindestens zwei Netzwerkanschlüsse an den ELP-PCs und ausreichende Reservemonitore für den Fall von Ausfällen, um die kontinuierliche Funktionalität sicherzustellen.</w:t>
      </w:r>
    </w:p>
    <w:p w14:paraId="776FA066"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3.6.1.</w:t>
      </w:r>
      <w:r w:rsidRPr="00EA0730">
        <w:rPr>
          <w:rFonts w:ascii="Times New Roman" w:hAnsi="Times New Roman" w:cs="Times New Roman"/>
          <w:sz w:val="24"/>
          <w:szCs w:val="24"/>
        </w:rPr>
        <w:tab/>
        <w:t xml:space="preserve"> Technische Subsysteme: </w:t>
      </w:r>
    </w:p>
    <w:p w14:paraId="1069527B" w14:textId="0B4FC7B8"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Technische Subsysteme sind die Systeme, die mit dem Einsatzleitsystem über Schnittstellen verbunden sind und eigene Bedienkomponenten für den Fall eines Schnittstellenversagens bereitstellen; diese Schnittstellen müssen überwacht werden, und Störungen oder Ausfälle müssen dem Leitstellenpersonal deutlich signalisiert werden.</w:t>
      </w:r>
    </w:p>
    <w:p w14:paraId="338E020A"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3.7.</w:t>
      </w:r>
      <w:r w:rsidRPr="00EA0730">
        <w:rPr>
          <w:rFonts w:ascii="Times New Roman" w:hAnsi="Times New Roman" w:cs="Times New Roman"/>
          <w:sz w:val="24"/>
          <w:szCs w:val="24"/>
        </w:rPr>
        <w:tab/>
        <w:t>Leitstellenredundanz:</w:t>
      </w:r>
    </w:p>
    <w:p w14:paraId="69F10CCD" w14:textId="3422A329"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Im Falle eines Totalausfalls aller Leitstellensysteme ist die Aktivierung einer Ersatzleitstelle notwendig, und es wird empfohlen, für solche Szenarien Handlungsanweisungen im Rahmen des Störungsmanagements bereitzustellen sowie wichtige Unterlagen und Ausrüstung für eine schnelle Evakuierung der Leitstelle vorzubereiten und das Personal entsprechend zu schulen.</w:t>
      </w:r>
    </w:p>
    <w:p w14:paraId="5F850623" w14:textId="5EE7FA83"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lastRenderedPageBreak/>
        <w:t>In diesem Szenario wird eine unbemannte Redundanzleitstelle eingerichtet, die alle technischen Ressourcen auf die Haupt- und Redundanzstandorte verteilt. Beide Standorte sind durch verschiedene Verbindungen miteinander verbunden, um Daten synchron zu halten. Die Redundanzleitstelle kann auch bei normalem Betrieb der Hauptleitstelle für Schulungen, Simulationen oder Sonderlagen genutzt werden. Die geografische Position sollte so gewählt werden, dass sie schnell vom Hauptstandort erreicht werden kann und geringeren Umgebungsrisiken ausgesetzt ist. Die Wirtschaftlichkeit sollte bei den zusätzlichen Kosten für Einrichtung und Wartung berücksichtigt werden. Eine alternative Lösung ist die Übernahme von Aufgaben durch eine Partnerleitstelle, erfordert jedoch klare organisatorische und technische Rahmenbedingungen.</w:t>
      </w:r>
    </w:p>
    <w:p w14:paraId="0D495B9D"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4.</w:t>
      </w:r>
      <w:r w:rsidRPr="00EA0730">
        <w:rPr>
          <w:rFonts w:ascii="Times New Roman" w:hAnsi="Times New Roman" w:cs="Times New Roman"/>
          <w:sz w:val="24"/>
          <w:szCs w:val="24"/>
        </w:rPr>
        <w:tab/>
        <w:t>Gefährdungspotenziale für den Leitstellenbetrieb:</w:t>
      </w:r>
    </w:p>
    <w:p w14:paraId="524C42EB" w14:textId="1AE06D16"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Eine Leitstelle kann verschiedenen äußeren Einflüssen ausgesetzt sein, die den Betrieb stören können, darunter Extremwetterlagen wie Sturm, Starkregen, Hagel, Schnee, Gewitter, Hitze, sowie Erdbeben, Hochwasser, Störungen in der Versorgung von Elektrizität, Telekommunikation, Gas und Fernwärme, Brände, Sabotage, Attentate und Cyberangriffe. Die Szenarien "Absturz von Flugkörpern" und "Meteoriteneinschlag" werden aufgrund ihrer Unvorhersehbarkeit und Schwierigkeit der präventiven Maßnahmen nicht näher behandelt.</w:t>
      </w:r>
    </w:p>
    <w:p w14:paraId="52B003A4"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4.1.</w:t>
      </w:r>
      <w:r w:rsidRPr="00EA0730">
        <w:rPr>
          <w:rFonts w:ascii="Times New Roman" w:hAnsi="Times New Roman" w:cs="Times New Roman"/>
          <w:sz w:val="24"/>
          <w:szCs w:val="24"/>
        </w:rPr>
        <w:tab/>
        <w:t>Standortauswahl/ Gefährdungsanalyse:</w:t>
      </w:r>
    </w:p>
    <w:p w14:paraId="6ADB3783" w14:textId="5F32592C"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Bei der Standortplanung einer Leitstelle ist es entscheidend, eine Gefährdungsanalyse durchzuführen und sicherzustellen, dass das Gebäude sowie die Klimatechnik gegen Extremwetterlagen wie Stürme, Starkregen, Hitzeperioden und Hagel robust und resistent sind, einschließlich Maßnahmen wie der regelmäßigen Reinigung von Dachrinnen.</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Die Standorte für Leitstellen und Redundanzleitstellen müssen in Betracht auf Blitzschutz, Erdbebengefahr und Hochwasserschutz geplant werden, einschließlich des Einsatzes von Netzersatz- und USV-Anlagen, um den Betrieb während Stromausfällen und anderen potenziellen Gefahren aufrechtzuerhalten. Zusätzlich sollten Blitzschutzmaßnahmen für die IT- und Kommunikationstechnik sowie galvanische Trennung zwischen Standorten und LWL-Verbindungen verwendet werden, um das Erdbebenrisiko zu minimieren und Wassereintritt durch Hochwasser oder Wasserrohrbrüche zu verhindern.</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Es ist ratsam, bei Neubauten die Gefahr von Wassereintritt aufgrund veränderter Wetterbedingungen zu berücksichtigen und Technik- sowie Betriebsräume ab dem ersten Obergeschoss zu platzieren, um Wassereintritt zu minimieren</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Gasnetzschäden sind normalerweise lokal und erfordern nur begrenzte Sperrungen und Evakuierungen, können aber über Kanalisation oder Hausanschlüsse ausbreiten. Eine schnelle Behebung erfolgt durch Belüftung und Abschaltung, jedoch sollte auf nahegelegene Hochdruckleitungen geachtet und Energieversorger konsultiert werden.</w:t>
      </w:r>
    </w:p>
    <w:p w14:paraId="27A0C2E9" w14:textId="0944D380" w:rsidR="00ED03DD" w:rsidRPr="00EA0730" w:rsidRDefault="00CF00DA" w:rsidP="00EA0730">
      <w:pPr>
        <w:ind w:right="1134"/>
        <w:rPr>
          <w:rFonts w:ascii="Times New Roman" w:hAnsi="Times New Roman" w:cs="Times New Roman"/>
          <w:sz w:val="24"/>
          <w:szCs w:val="24"/>
          <w:highlight w:val="yellow"/>
        </w:rPr>
      </w:pPr>
      <w:r w:rsidRPr="00EA0730">
        <w:rPr>
          <w:rFonts w:ascii="Times New Roman" w:hAnsi="Times New Roman" w:cs="Times New Roman"/>
          <w:sz w:val="24"/>
          <w:szCs w:val="24"/>
          <w:highlight w:val="yellow"/>
        </w:rPr>
        <w:t>Sollte der Technikraum unterhalb des Straßenniveaus liegen empfiehlt es sich, die Systemschränke auf einen Betonsockel mit mindestens 15 cm Höhe zu stellen.</w:t>
      </w:r>
    </w:p>
    <w:p w14:paraId="188060B6" w14:textId="77777777" w:rsidR="00ED03DD" w:rsidRPr="00EA0730" w:rsidRDefault="00ED03DD" w:rsidP="00EA0730">
      <w:pPr>
        <w:ind w:right="1134"/>
        <w:rPr>
          <w:rFonts w:ascii="Times New Roman" w:hAnsi="Times New Roman" w:cs="Times New Roman"/>
          <w:sz w:val="24"/>
          <w:szCs w:val="24"/>
        </w:rPr>
      </w:pPr>
    </w:p>
    <w:p w14:paraId="76ED9898" w14:textId="5D62205C"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lastRenderedPageBreak/>
        <w:t>4.2.</w:t>
      </w:r>
      <w:r w:rsidRPr="00EA0730">
        <w:rPr>
          <w:rFonts w:ascii="Times New Roman" w:hAnsi="Times New Roman" w:cs="Times New Roman"/>
          <w:sz w:val="24"/>
          <w:szCs w:val="24"/>
        </w:rPr>
        <w:tab/>
        <w:t>Bedrohung von außen:</w:t>
      </w:r>
    </w:p>
    <w:p w14:paraId="1403F0BD" w14:textId="3F39E4B1"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 xml:space="preserve">Um Bedrohungen von außen zu bekämpfen, sollten bauliche Maßnahmen gemäß DIN EN 50518 zur Sicherung der Leitstelle vor mechanischen Angriffen ergriffen werden. Zusätzlich sind elektronische Überwachungssysteme für die Außenhaut des Gebäudes sowie </w:t>
      </w:r>
      <w:proofErr w:type="spellStart"/>
      <w:r w:rsidRPr="00EA0730">
        <w:rPr>
          <w:rFonts w:ascii="Times New Roman" w:hAnsi="Times New Roman" w:cs="Times New Roman"/>
          <w:sz w:val="24"/>
          <w:szCs w:val="24"/>
        </w:rPr>
        <w:t>Perimeterüberwachung</w:t>
      </w:r>
      <w:proofErr w:type="spellEnd"/>
      <w:r w:rsidRPr="00EA0730">
        <w:rPr>
          <w:rFonts w:ascii="Times New Roman" w:hAnsi="Times New Roman" w:cs="Times New Roman"/>
          <w:sz w:val="24"/>
          <w:szCs w:val="24"/>
        </w:rPr>
        <w:t xml:space="preserve"> erforderlich, um unberechtigten Zugang oder Sabotageversuche rechtzeitig zu erkennen.</w:t>
      </w:r>
    </w:p>
    <w:p w14:paraId="76373D53" w14:textId="4E317D35"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Um die Leitstelle effektiv gegen Bedrohungen von außen zu schützen, sollten folgende Maßnahmen ergriffen werden:</w:t>
      </w:r>
    </w:p>
    <w:p w14:paraId="7B9EAD7A" w14:textId="38B7634E"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Sicherung des Geländes und der Gebäude:</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 xml:space="preserve">Einrichtung eines </w:t>
      </w:r>
      <w:proofErr w:type="spellStart"/>
      <w:r w:rsidRPr="00EA0730">
        <w:rPr>
          <w:rFonts w:ascii="Times New Roman" w:hAnsi="Times New Roman" w:cs="Times New Roman"/>
          <w:sz w:val="24"/>
          <w:szCs w:val="24"/>
        </w:rPr>
        <w:t>Perimeterschutzes</w:t>
      </w:r>
      <w:proofErr w:type="spellEnd"/>
      <w:r w:rsidRPr="00EA0730">
        <w:rPr>
          <w:rFonts w:ascii="Times New Roman" w:hAnsi="Times New Roman" w:cs="Times New Roman"/>
          <w:sz w:val="24"/>
          <w:szCs w:val="24"/>
        </w:rPr>
        <w:t xml:space="preserve"> für das Gelände.</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Zugangsbeschränkungen und -kontrolle mit Kameraüberwachung.</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Protokollierung des Zugangs zu Technikräumen und Begrenzung der Anzahl von Personen mit Zugang zu sensiblen Bereichen.</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Organisatorische Maßnahmen, um betriebsfremde Personen fernzuhalten.</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Vertragliche Regelungen zur Anmeldung von Servicetechnikern und Identifikation gegenüber dem Leitstellenpersonal.</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Bei Neubauten oder größeren Umbaumaßnahmen in Betracht ziehen, eine Sicherheitsschleuse für den Leitstellenbetriebsraum einzurichten.</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Schutz gegen Cyberattacken:</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Netzwerke nach Nutzungsarten trennen und nur über Firewall-Verbindungen koppeln.</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Regelmäßige Aktualisierung der Firmware von Firewalls und Switchen sowie Durchführung von Sicherheitsupdates.</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Installation eines tagesaktuellen Malwareschutzes auf allen IT-Verfahren.</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Verschlüsselung und Schutz der Steuerungssysteme der technischen Gebäudeausrüstung (TGA).</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Erstellung eines IT-Sicherheitskonzepts und Einrichtung eines Informationssicherheitsmanagementsystems (ISMS) basierend auf BSI-Standards und Grundschutzkatalogen.</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Deaktivierung von freien USB-Ports an Client-Rechnern und Eingabegeräten sowie bestimmter Tastaturfunktionen.</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Diese Maßnahmen sollen sicherstellen, dass die Leitstellentechnik und die Steuerungssysteme der technischen Gebäudeausrüstung vor Cyberangriffen geschützt sind und die Verwundbarkeit minimiert wird.</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Vor der automatisierten Installation von Updates ist die Freigabe vom Hersteller des Einsatzleitsystems erforderlich, nachdem sie vom Systemadministrator genehmigt wurde. Zudem sollte ein aktives Notfallmanagement aufgebaut werden, um die Ausfallsicherheit zu erhöhen, die Leitstelle auf Notfälle und Krisen vorzubereiten sowie die wichtigsten Geschäftsprozesse im Notfall schnell wiederherzustellen, unter Verwendung von Standards wie dem BSI-Standard 100-4 / 200-4 und dem zugehörigen Umsetzungsrahmenwerk.</w:t>
      </w:r>
    </w:p>
    <w:p w14:paraId="11721636"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4.3.</w:t>
      </w:r>
      <w:r w:rsidRPr="00EA0730">
        <w:rPr>
          <w:rFonts w:ascii="Times New Roman" w:hAnsi="Times New Roman" w:cs="Times New Roman"/>
          <w:sz w:val="24"/>
          <w:szCs w:val="24"/>
        </w:rPr>
        <w:tab/>
        <w:t>Wartungs- und Serviceverträge:</w:t>
      </w:r>
    </w:p>
    <w:p w14:paraId="60CAD6E1" w14:textId="6DECFBA2" w:rsidR="003B55EC" w:rsidRPr="00EA0730" w:rsidRDefault="00ED03DD" w:rsidP="00EA0730">
      <w:pPr>
        <w:ind w:right="1134"/>
        <w:rPr>
          <w:rFonts w:ascii="Times New Roman" w:hAnsi="Times New Roman" w:cs="Times New Roman"/>
          <w:sz w:val="24"/>
          <w:szCs w:val="24"/>
        </w:rPr>
      </w:pPr>
      <w:r w:rsidRPr="00EA0730">
        <w:rPr>
          <w:rFonts w:ascii="Times New Roman" w:hAnsi="Times New Roman" w:cs="Times New Roman"/>
          <w:sz w:val="24"/>
          <w:szCs w:val="24"/>
        </w:rPr>
        <w:t>S</w:t>
      </w:r>
      <w:r w:rsidR="003B55EC" w:rsidRPr="00EA0730">
        <w:rPr>
          <w:rFonts w:ascii="Times New Roman" w:hAnsi="Times New Roman" w:cs="Times New Roman"/>
          <w:sz w:val="24"/>
          <w:szCs w:val="24"/>
        </w:rPr>
        <w:t>chließen Sie Wartungsverträge für die Leitstellentechnik ab, die Softwarepflege, eine 24/7-Hotline und das Patchmanagement umfassen. Vereinbaren Sie klare Reaktions- und Behebungszeiten für Hotline-Anrufe, Fernwartungshilfe, Vor-Ort-Einsätze und Hardware-Austausch, und sorgen Sie dafür, dass ausreichende Lizenzen und Betriebsbereitschaft gewährleistet sind, mit dokumentierter Risikoanalyse bei Verzicht auf Updates.</w:t>
      </w:r>
    </w:p>
    <w:p w14:paraId="60A25798"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5.</w:t>
      </w:r>
      <w:r w:rsidRPr="00EA0730">
        <w:rPr>
          <w:rFonts w:ascii="Times New Roman" w:hAnsi="Times New Roman" w:cs="Times New Roman"/>
          <w:sz w:val="24"/>
          <w:szCs w:val="24"/>
        </w:rPr>
        <w:tab/>
        <w:t>Betriebssicherheit der Leitstelle (organisatorisch):</w:t>
      </w:r>
    </w:p>
    <w:p w14:paraId="4F074499" w14:textId="04A16105"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lastRenderedPageBreak/>
        <w:t>Zur Erhöhung der Ausfallsicherheit in Leitstellen sind technische und organisatorische Maßnahmen erforderlich. Dies schließt die Schulung der Mitarbeiter für den Regelbetrieb und technische Ausfälle, alternative Dienstplanmodelle für Mitarbeiterausfälle, Checklisten für sichere Entscheidungsfindung, Sensibilisierung für IT-Sicherheit sowie die Ernennung von Informationssicherheits- und Notfallbeauftragten ein. Geeignete Mitarbeiter sollten für diese Rollen ernannt werden, mit ausreichender Arbeitszeit, und es ist wichtig, Notfallpläne auch im Papierformat zu haben und zu üben.</w:t>
      </w:r>
    </w:p>
    <w:p w14:paraId="64DF8E60"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5.1.</w:t>
      </w:r>
      <w:r w:rsidRPr="00EA0730">
        <w:rPr>
          <w:rFonts w:ascii="Times New Roman" w:hAnsi="Times New Roman" w:cs="Times New Roman"/>
          <w:sz w:val="24"/>
          <w:szCs w:val="24"/>
        </w:rPr>
        <w:tab/>
        <w:t>Schulung der Leitstellenmitarbeiter:</w:t>
      </w:r>
    </w:p>
    <w:p w14:paraId="3495D702" w14:textId="0FAA067E"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Die Ausbildung und kontinuierliche Schulung aller Leitstellendisponenten, Führungskräfte und Systemadministratoren sollte das Verhalten bei Störungen in den Leitstellensystemen umfassen. Dies beinhaltet die Schulung für den Umgang mit Redundanzsystemen und die Sensibilisierung für die richtige Nutzung der Telekommunikations- und IT-Ausstattung, mit einer Minimierung der persönlichen Nutzung. Es wird empfohlen, Betriebsvereinbarungen für die Nutzung zu treffen.</w:t>
      </w:r>
      <w:r w:rsidR="00ED03DD" w:rsidRPr="00EA0730">
        <w:rPr>
          <w:rFonts w:ascii="Times New Roman" w:hAnsi="Times New Roman" w:cs="Times New Roman"/>
          <w:sz w:val="24"/>
          <w:szCs w:val="24"/>
        </w:rPr>
        <w:t xml:space="preserve"> </w:t>
      </w:r>
      <w:r w:rsidRPr="00EA0730">
        <w:rPr>
          <w:rFonts w:ascii="Times New Roman" w:hAnsi="Times New Roman" w:cs="Times New Roman"/>
          <w:sz w:val="24"/>
          <w:szCs w:val="24"/>
        </w:rPr>
        <w:t>Die Evakuierung der Leitstelle, etwa im Brandfall, sollte vorab geplant und regelmäßig geübt werden. Ein Sammelpunkt außerhalb des Gefahrenbereichs dient zur Überprüfung der Mitarbeiterpräsenz, und der Transport zur Ersatz- oder Redundanzleitstelle sollte im Voraus abgestimmt werden. Die Simulation von Ausfallszenarien in einer Schulungsumgebung ermöglicht effektives Training und die Entwicklung von Verfahren, ohne die Leitstellenverfügbarkeit zu gefährden.</w:t>
      </w:r>
    </w:p>
    <w:p w14:paraId="73664828"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5.2.</w:t>
      </w:r>
      <w:r w:rsidRPr="00EA0730">
        <w:rPr>
          <w:rFonts w:ascii="Times New Roman" w:hAnsi="Times New Roman" w:cs="Times New Roman"/>
          <w:sz w:val="24"/>
          <w:szCs w:val="24"/>
        </w:rPr>
        <w:tab/>
        <w:t>Personalausfall durch Krankheitswellen:</w:t>
      </w:r>
    </w:p>
    <w:p w14:paraId="35EB1DF8" w14:textId="755D601B"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Um auf Krankheitswellen wie Grippepandemien reagieren zu können, sollte ein Konzept entwickelt werden, das unter anderem die Schulung von Springern vorsieht, die bei Bedarf in der Leitstelle einspringen können. Eine überregionale Springer- oder Vertretungsregelung kann ebenfalls in Erwägung gezogen werden, erfordert jedoch, dass die unterstützenden Mitarbeiter aus Leitstellen mit ähnlicher technischer Ausstattung kommen. Konzepte zur Anpassung von Dienstplänen und Leistungseinschränkungen können ebenfalls hilfreich sein. Es ist wichtig, ein Konzept für den Umgang mit Wasser- und Abwasserproblemen sowie einen Vorrat an Lebensmitteln und Trinkwasser für Leitstellenmitarbeiter in Betracht zu ziehen.</w:t>
      </w:r>
    </w:p>
    <w:p w14:paraId="17E97B41"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5.3.</w:t>
      </w:r>
      <w:r w:rsidRPr="00EA0730">
        <w:rPr>
          <w:rFonts w:ascii="Times New Roman" w:hAnsi="Times New Roman" w:cs="Times New Roman"/>
          <w:sz w:val="24"/>
          <w:szCs w:val="24"/>
        </w:rPr>
        <w:tab/>
        <w:t>Streik:</w:t>
      </w:r>
    </w:p>
    <w:p w14:paraId="732A1D04" w14:textId="2BB31DCF"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Notdienstvereinbarungen sollten zwischen Gewerkschaften, Arbeitgebern und angestellten Mitarbeitern in Leitstellen getroffen werden, um einen Notdienst während Streikmaßnahmen sicherzustellen. Dies beinhaltet die schriftliche Verpflichtung der vorgesehenen Mitarbeiter für den Notdienst, einschließlich technischem Personal und Administratoren mit ausreichender Reserve für Störungsbehebungen. Beamte können nicht streiken und erfordern daher keine speziellen Vorbereitungen im Rahmen solcher Vereinbarungen.</w:t>
      </w:r>
    </w:p>
    <w:p w14:paraId="31A80955"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6.</w:t>
      </w:r>
      <w:r w:rsidRPr="00EA0730">
        <w:rPr>
          <w:rFonts w:ascii="Times New Roman" w:hAnsi="Times New Roman" w:cs="Times New Roman"/>
          <w:sz w:val="24"/>
          <w:szCs w:val="24"/>
        </w:rPr>
        <w:tab/>
        <w:t>Sicherherstellung der Alarmierung und Kommunikation außerhalb der Leitstelle:</w:t>
      </w:r>
    </w:p>
    <w:p w14:paraId="167AC47E" w14:textId="27B96C22"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lastRenderedPageBreak/>
        <w:t>Im Falle eines großflächigen, langanhaltenden Stromausfalls sollten ständig besetzte Anlaufstellen wie Feuerwehrhäuser eingerichtet werden, um die Notruferreichbarkeit sicherzustellen. Zusätzlich könnten Einsatzfahrzeuge an wichtigen Standorten positioniert werden, um über BOS-Funk die Kommunikation zur Leitstelle sicherzustellen. Diese Planungen sollten in den örtlichen Gefahrenabwehrplänen verankert sein. Unterstützung durch Fernmelde-/</w:t>
      </w:r>
      <w:proofErr w:type="spellStart"/>
      <w:r w:rsidRPr="00EA0730">
        <w:rPr>
          <w:rFonts w:ascii="Times New Roman" w:hAnsi="Times New Roman" w:cs="Times New Roman"/>
          <w:sz w:val="24"/>
          <w:szCs w:val="24"/>
        </w:rPr>
        <w:t>IuK</w:t>
      </w:r>
      <w:proofErr w:type="spellEnd"/>
      <w:r w:rsidRPr="00EA0730">
        <w:rPr>
          <w:rFonts w:ascii="Times New Roman" w:hAnsi="Times New Roman" w:cs="Times New Roman"/>
          <w:sz w:val="24"/>
          <w:szCs w:val="24"/>
        </w:rPr>
        <w:t>-Einheiten und gut ausgestattete Einsatzleitwagen kann ebenfalls hilfreich sein. Weitere Details und Handlungshilfen sind in Krisenhandbüchern und vergleichbaren Projekten verfügbar.</w:t>
      </w:r>
    </w:p>
    <w:p w14:paraId="7ED0DB9A" w14:textId="77777777" w:rsidR="003B55EC"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7.</w:t>
      </w:r>
      <w:r w:rsidRPr="00EA0730">
        <w:rPr>
          <w:rFonts w:ascii="Times New Roman" w:hAnsi="Times New Roman" w:cs="Times New Roman"/>
          <w:sz w:val="24"/>
          <w:szCs w:val="24"/>
        </w:rPr>
        <w:tab/>
        <w:t>Verwandte Projekte:</w:t>
      </w:r>
    </w:p>
    <w:p w14:paraId="00BC55EC" w14:textId="3F44F41C" w:rsidR="000960E6" w:rsidRPr="00EA0730" w:rsidRDefault="003B55EC" w:rsidP="00EA0730">
      <w:pPr>
        <w:ind w:right="1134"/>
        <w:rPr>
          <w:rFonts w:ascii="Times New Roman" w:hAnsi="Times New Roman" w:cs="Times New Roman"/>
          <w:sz w:val="24"/>
          <w:szCs w:val="24"/>
        </w:rPr>
      </w:pPr>
      <w:r w:rsidRPr="00EA0730">
        <w:rPr>
          <w:rFonts w:ascii="Times New Roman" w:hAnsi="Times New Roman" w:cs="Times New Roman"/>
          <w:sz w:val="24"/>
          <w:szCs w:val="24"/>
        </w:rPr>
        <w:t>Das Projekt "Kat-Leuchttürme" der Berliner Feuerwehr entwickelt Anlaufstellen für die Bevölkerung in Krisensituationen, insbesondere bei Stromausfällen. Diese Gebäude sollen notwendige Hilfeleistungen erbringen und die aktive Einbindung der Bevölkerung in das Krisenmanagement ermöglichen. Dabei werden verschiedene Leuchtturmmodelle erforscht und sozial-psychologische sowie rechtliche Aspekte berücksichtigt. Das Ziel ist eine sichere Langzeitversorgung der Bevölkerung mithilfe von Notstrom und Notfall-Kommunikationssystemen.</w:t>
      </w:r>
      <w:bookmarkEnd w:id="0"/>
    </w:p>
    <w:sectPr w:rsidR="000960E6" w:rsidRPr="00EA0730" w:rsidSect="00EA073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5EC"/>
    <w:rsid w:val="00072EF9"/>
    <w:rsid w:val="000960E6"/>
    <w:rsid w:val="00122875"/>
    <w:rsid w:val="00174F4A"/>
    <w:rsid w:val="00223E75"/>
    <w:rsid w:val="002E2519"/>
    <w:rsid w:val="00381254"/>
    <w:rsid w:val="003B55EC"/>
    <w:rsid w:val="004E3369"/>
    <w:rsid w:val="00703F65"/>
    <w:rsid w:val="009B1AE6"/>
    <w:rsid w:val="00A40352"/>
    <w:rsid w:val="00AB041D"/>
    <w:rsid w:val="00C35709"/>
    <w:rsid w:val="00C46C39"/>
    <w:rsid w:val="00C6777D"/>
    <w:rsid w:val="00CB7E12"/>
    <w:rsid w:val="00CF00DA"/>
    <w:rsid w:val="00DD5859"/>
    <w:rsid w:val="00EA0730"/>
    <w:rsid w:val="00ED03DD"/>
    <w:rsid w:val="00F73490"/>
    <w:rsid w:val="00F971D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524E94"/>
  <w15:chartTrackingRefBased/>
  <w15:docId w15:val="{566CB2BE-9CDF-42A1-8439-6A9BF795E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7C788F8-78DE-464F-B5CE-43D287FE4CA3}">
  <we:reference id="wa200002017" version="1.5.0.0" store="de-DE" storeType="OMEX"/>
  <we:alternateReferences>
    <we:reference id="wa200002017" version="1.5.0.0" store="WA200002017"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F137DC-2C3F-4A7C-A3F8-EDC8B9F32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4485</Words>
  <Characters>28259</Characters>
  <Application>Microsoft Office Word</Application>
  <DocSecurity>0</DocSecurity>
  <Lines>235</Lines>
  <Paragraphs>65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Wrba</dc:creator>
  <cp:keywords/>
  <dc:description/>
  <cp:lastModifiedBy>Christian Wrba</cp:lastModifiedBy>
  <cp:revision>7</cp:revision>
  <dcterms:created xsi:type="dcterms:W3CDTF">2023-10-12T07:45:00Z</dcterms:created>
  <dcterms:modified xsi:type="dcterms:W3CDTF">2023-12-13T07:58:00Z</dcterms:modified>
</cp:coreProperties>
</file>